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11 vom 29. August 2019</w:t>
      </w:r>
    </w:p>
    <w:p>
      <w:r>
        <w:t>GR Gerichte, 2019-08-29, DE</w:t>
      </w:r>
    </w:p>
    <w:p>
      <w:r>
        <w:rPr>
          <w:b/>
        </w:rPr>
        <w:t xml:space="preserve">Quelle: </w:t>
      </w:r>
      <w:r>
        <w:t>https://mcp.opencaselaw.ch/entscheid/gr_gerichte_ZK2 2019 11</w:t>
      </w:r>
    </w:p>
    <w:p>
      <w:r>
        <w:t>FR: GR_GERICHTE ZK2 2019 11 du 29 août 2019</w:t>
      </w:r>
    </w:p>
    <w:p>
      <w:r>
        <w:t>IT: GR_GERICHTE ZK2 2019 11 del 29 agosto 2019</w:t>
      </w:r>
    </w:p>
    <w:p>
      <w:pPr>
        <w:pStyle w:val="Heading2"/>
      </w:pPr>
      <w:r>
        <w:t>Regeste</w:t>
      </w:r>
    </w:p>
    <w:p>
      <w:r>
        <w:t>Berufung OR Auftrag/Gesch\x27führung o. Auftrag/Bürgschaft etc.</w:t>
      </w:r>
    </w:p>
    <w:p>
      <w:pPr>
        <w:pStyle w:val="Heading2"/>
      </w:pPr>
      <w:r>
        <w:t>Erwägungen</w:t>
      </w:r>
    </w:p>
    <w:p>
      <w:r>
        <w:rPr>
          <w:b/>
        </w:rPr>
        <w:t>E. 1</w:t>
      </w:r>
    </w:p>
    <w:p>
      <w:r>
        <w:t>Es sei der Beklagte zu verpflichten, dem Kläger den Betrag von CHF 18'292.90 nebst Zins zu 5 % seit 29.11.2016 zu bezahlen.</w:t>
      </w:r>
    </w:p>
    <w:p>
      <w:r>
        <w:rPr>
          <w:b/>
        </w:rPr>
        <w:t>E. 2</w:t>
      </w:r>
    </w:p>
    <w:p>
      <w:r>
        <w:t>Es sei der Rechtsvorschlag in der Betreibung Nr. _____ des Betrei- bungsamtes O.1_____ zu beseitigen und dem Kläger definitive Rechtsöffnung zu erteilen.</w:t>
      </w:r>
    </w:p>
    <w:p>
      <w:r>
        <w:rPr>
          <w:b/>
        </w:rPr>
        <w:t>E. 3</w:t>
      </w:r>
    </w:p>
    <w:p>
      <w:r>
        <w:t>Es sei der Beklagte zu verpflichten, dem Kläger die Kosten des Zah- lungsbefehls in der Betreibung Nr. _____ des Betreibungsamtes O.1_____ von CHF 103.30 zu ersetzen.</w:t>
      </w:r>
    </w:p>
    <w:p>
      <w:r>
        <w:rPr>
          <w:b/>
        </w:rPr>
        <w:t>E. 4</w:t>
      </w:r>
    </w:p>
    <w:p>
      <w:r>
        <w:t>Der Beklagte wird verpflichtet, den Kläger mit CHF 7'055.80 ausser- amtlich zu entschädigen.</w:t>
      </w:r>
    </w:p>
    <w:p>
      <w:r>
        <w:rPr>
          <w:b/>
        </w:rPr>
        <w:t>E. 5</w:t>
      </w:r>
    </w:p>
    <w:p>
      <w:r>
        <w:t>(Rechtsmittelbelehrung)</w:t>
      </w:r>
    </w:p>
    <w:p>
      <w:r>
        <w:rPr>
          <w:b/>
        </w:rPr>
        <w:t>E. 6</w:t>
      </w:r>
    </w:p>
    <w:p>
      <w:r>
        <w:t>/ 12 er in der Berufungsschrift lediglich auf die vor erster Instanz vorgetragenen Vor- bringen verweist, wenn er sich mit Hinweisen auf frühere Prozesshandlungen zu- frieden gibt oder den angefochtenen Entscheid bloss in allgemeiner Weise kriti- siert. Das Berufungsverfahren soll eine Fortsetzung des erstinstanzlichen Verfah- rens, nicht jedoch ein Neubeginn desselben sein. Die Begründung muss hinrei- chend genau und eindeutig sein, um von der Berufungsinstanz mühelos verstan- den werden zu können. Dies setzt voraus, dass der Berufungskläger die vor- instanzlichen Erwägungen, die er bestreitet, im Einzelnen bezeichnet und die Ak- tenstücke nennt, auf denen seine Kritik beruht (vgl. BGE 138 III 374 E. 4.3.1 = Pra 102 Nr. 4; Urteile des Bundesgerichts 5A_438/2012 vom 27. August 2012 E. 2.2 und 5A_141/2014 vom 28. April 2014 E. 2.4). Bei Laieneingaben sind ge- ringere Anforderungen an die Formalitäten zu stellen. Dies gilt insbesondere auch für die Formulierung der Berufungsanträge und die Substantiierungslast. Eingaben von Laien müssen nach Treu und Glauben ausgelegt werden. Jedoch bedarf es auch im Falle einer Laieneingabe einer Auseinandersetzung mit dem angefochte- nen Entscheid und einer erkennbaren Kritik an dessen Erwägungen. Auch eine Berufung, die von einem Laien verfasst wird, muss Anträge und eine Begründung enthalten. Dies ist gesetzlich zwingend vorgesehen (Art. 311 Abs. 1 ZPO; vgl. zum Ganzen Karl Spühler, in: Spühler/Tenchio/Infanger [Hrsg.], Basler Kommentar, Schweizerische Zivilprozessordnung, 3. Auflage, Basel 2017, N 12 ff. zu Art. 311 ZPO; Peter Reetz/Stefanie Theiler, a.a.O., N 33 ff. zu Art. 311 ZPO). Auf Berufun- gen, denen es an einer hinreichenden Begründung oder einem Antrag zur Sache (der sich wenigstens sinngemäss aus der Begründung ergibt) fehlt, ist nicht einzu- treten. Nicht Sache der Berufungsinstanz ist es, die Parteien des Berufungsverfahrens zur Verbesserung fehlerhafter Rechtsmittelschriften aufzufordern. Namentlich ist Art. 132 Abs. 2 ZPO nicht dazu bestimmt, eine inhaltlich ungenügende Begrün- dung ergänzen oder nachbessern zu lassen (Urteil des Bundesgerichts 5A_438/2012 vom 27. August 2012 E. 2.4). 5. Neue Tatsachen und neue Beweismittel (Noven) werden im Berufungsver- fahren nur noch berücksichtigt, wenn sie vor Berufungsinstanz ohne Verzug vor- gebracht werden und trotz zumutbarer Sorgfalt nicht schon vor erster Instanz vor- gebracht werden konnten (Art. 317 Abs. 1 lit. a und b ZPO). Wer sich auf Noven beruft, hat die Voraussetzungen deren Berücksichtigung zu substantiieren und zu beweisen (Peter Reetz/Stefanie Theiler, a.a.O., N 34 zu Art. 317 ZPO).</w:t>
      </w:r>
    </w:p>
    <w:p>
      <w:r>
        <w:rPr>
          <w:b/>
        </w:rPr>
        <w:t>E. 7</w:t>
      </w:r>
    </w:p>
    <w:p>
      <w:r>
        <w:t>Der Berufungsbeklagte zog es vor, seinen Honoraranspruch selbständig gegen seinen früheren Mandanten geltend zu machen. Ebenso verzichtete der Berufungskläger für den vorliegenden Fall auf den Beizug eines Anwaltes. Der Berufungskläger verfasste und reichte die Berufungsschrift selbst ein. Bei der Be- rufung handelt es sich mithin um eine Laieneingabe. Wie soeben dargelegt, wer- den bei Laien weniger strenge Anforderungen an das Formulieren von Berufungs- anträgen sowie an die Begründung der Berufung gestellt.</w:t>
      </w:r>
    </w:p>
    <w:p>
      <w:r>
        <w:rPr>
          <w:b/>
        </w:rPr>
        <w:t>E. 8</w:t>
      </w:r>
    </w:p>
    <w:p>
      <w:r>
        <w:t>Die Berufung enthält am Ende der Rechtsschrift Anträge (act. A.1, S.6 f.). Der Formulierung lässt sich mit gutem Willen herauslesen, wie die Berufungsin- stanz nach Auffassung des Berufungsklägers entscheiden soll. So ist seinen Aus- führungen zumindest sinngemäss zu entnehmen, dass der Berufungskläger die Aufhebung des angefochtenen Entscheids und die Zusprechung einer Forderung von maximal CHF 5'000.00 an den Berufungsbeklagten verlangt. Ausserdem be- anstandet der Berufungskläger die Kostenverteilung der Vorinstanz. Unter Berücksichtigung, dass es sich um eine Laieneingabe handelt, sind die in der Be- rufung enthaltenen Anträge als genügend zu erachten.</w:t>
      </w:r>
    </w:p>
    <w:p>
      <w:r>
        <w:rPr>
          <w:b/>
        </w:rPr>
        <w:t>E. 9</w:t>
      </w:r>
    </w:p>
    <w:p>
      <w:r>
        <w:t>Hingegen genügt die Berufungsbegründung den Substantiierungsanforde- rungen in keiner Weise. Der Berufungskläger setzt sich in seiner Berufungsschrift nicht mit der vorinstanzlichen Entscheidbegründung auseinander. Er zeigt nicht – unter Hinweis auf bestimmte Stellen in den vorinstanzlichen Akten – auf, dass und inwiefern welche konkreten Ausführungen der Vorinstanz mangelhaft sein sollen. Auch dem verständigen Leser erhellt sich nicht, was nach Auffassung des Beru- fungsklägers am angefochtenen Entscheid falsch sein soll. Damit lassen seine Vorbringen eine inhaltliche Bezugnahme auf die Erwägungen im angefochtenen Entscheid oder auf die Akten der Vorinstanz vermissen. Stattdessen wiederholt der Berufungskläger im Wesentlichen bloss über weite Strecken seine bereits im vorinstanzlichen Verfahren erhobenen Einwände (u.a. Meinungsverschiedenheiten betreffend die berufliche Vorsorge des Berufungsklägers im Kontext der Regelung der Nebenfolgen der Ehescheidung, Verzögerung des Scheidungsverfahrens; vgl. vorinstanzliches act. VII./2, S. 2 ff.; act. A.1, S. 2 ff.), ohne auch nur ansatzweise auf die Argumentation einzugehen, mit der die Vorinstanz diese Einwände entkräf- tet hat (act. B.1, S. 7). Des Weiteren beschränkt sich der Berufungskläger in der Berufungsschrift überwiegend auf pauschale Kritik an der strittigen Honorarnote, ohne zu einzelnen Rechnungspositionen konkret Stellung zu nehmen. Soweit der</w:t>
      </w:r>
    </w:p>
    <w:p>
      <w:r>
        <w:t>8 / 12 Berufungskläger schliesslich seine einstige einwandfreie Zahlungsmoral hervor- hebt, Einzelheiten zum Anwaltswechsel seiner Ehegattin während des Schei- dungsverfahrens darlegt, auf eine nicht unterzeichnete Schuldanerkennung hin- weist oder dem Berufungsbeklagten unredliche Absichten betreffend Gläubigerbe- vorzugung, Gedankenlosigkeit und "Putzfrechheit" unterstellt (act. A.1, S. 2 ff.), gehen seine Ausführungen an der Sache vorbei und sind im Hinblick auf die im vorliegenden Verfahren relevanten Tat- und Rechtsfragen bzw. für die Beurteilung der Honorarforderung von vornherein unbehelflich und irrelevant. Ebenso wenig ist seine wiederholt vorgetragene Rüge, die Honorarrechnungen enthielten verfah- rensfremde Positionen (Vermischung juristische und natürliche Person; act. A.1), aufgrund der erfolgten Reduktion der eingeklagten Forderung durch die Vorinstanz von Relevanz (act. B.1, S. 7 f.). Im Übrigen unterlässt der Berufungskläger auch diesbezüglich jedwelche Auseinandersetzung mit den vorinstanzlichen Erwägun- gen. Die Ausführungen des Berufungsklägers in der Berufungsbegründung enthal- ten überdies teils neue Tatsachenbehauptungen. Als solche könnten sie im Beru- fungsverfahren einzig im Rahmen von Art. 317 ZPO berücksichtigt werden (vor- stehend E. 5). Indessen ist anzumerken, dass die neuen Vorbringen jedenfalls nicht entscheidrelevant wären (vgl. so auch act. A.2, S. 4). Auf deren Zulassung oder Ausschluss braucht daher nicht näher eingegangen zu werden. Insgesamt stellt der Berufungskläger dem angefochtenen Entscheid letztlich nur seine eigene Würdigung der Mandatsbeziehung der Parteien gegenüber, ohne rechtsgenügend aufzuzeigen, inwiefern der vorinstanzliche Entscheid, mit dem die Klage gutgeheissen wurde, an einem Mangel im Sinne von Art. 310 ZPO leiden sollte (vorstehend E. 3.). Damit erschöpft sich die Berufungsbegründung der Sa- che nach in sog. appellatorischer und als solcher nicht zu hörender Kritik am an- gefochtenen Entscheid. Insofern vermögen die Ausführungen des Berufungsklä- gers den formellen Anforderungen an eine Berufungsbegründung – trotz tieferer Hürden bei Laieneingaben – nicht zu genügen (vorstehend E. 4). Auf die Berufung ist deshalb nicht einzutreten.</w:t>
      </w:r>
    </w:p>
    <w:p>
      <w:r>
        <w:rPr>
          <w:b/>
        </w:rPr>
        <w:t>E. 10</w:t>
      </w:r>
    </w:p>
    <w:p>
      <w:r>
        <w:t>Lediglich der Vollständigkeit halber – ohne dass sich am eben aufgezeigten Nichteintreten etwas änderte – rechtfertigen sich zudem folgende Bemerkungen: Die Vorinstanz befasste sich in ihrem Entscheid ausführlich und korrekt mit den Grundsätzen, die gemäss Rechtsprechung und Lehre bei der Beurteilung von Ho- norarforderungen zu beachten sind (act. B.1, S. 5 f.). Alsdann prüfte die Vor- instanz detailliert und sorgfältig, ob die geltend gemachten Aufwendungen gemäss den jeweiligen Honorarnoten und angefügten Beilagen ausgewiesen sind. Dabei berücksichtigte und würdigte sie die jeweiligen Parteistandpunkte, insbesondere</w:t>
      </w:r>
    </w:p>
    <w:p>
      <w:r>
        <w:t>9 / 12 die Einwände des Berufungsklägers – soweit diese nachvollziehbar und für die Entscheidfindung von Relevanz waren – umsichtig und zutreffend (act. B.1, S. 6 ff.). Zwischen den Parteien bestand im für die eingeklagte Honorarforderung rele- vanten Zeitraum unbestrittenermassen ein Auftragsverhältnis für die Prozess- führung des Ehescheidungsverfahrens. Bei den Akten befindet sich eine Voll- machtserteilung sowie eine von den Parteien abgeschlossene Honorarvereinba- rung (vorinstanzliche act. VI./1–2). Die eingeklagte Honorarforderung entspricht dieser Honorarvereinbarung und stützt sich auf detaillierte, mit Belegen dokumen- tierte Honorarnoten (vorinstanzliche act. II./3, 3.1–3.42, act. II./4, 4.1–4.34 und act. II./5, 5.1–5.12). Die Erwägungen der Vorinstanz erweisen sich als nachvoll- ziehbar und zutreffend. Es ist nicht ersichtlich und wird, wie bereits ausgeführt, vom Berufungskläger auch nicht konkret dargelegt, inwieweit die vorinstanzlichen Erwägungen fehlerhaft sein sollten. Am Resultat, zu dem die Vorinstanz gelangte, nämlich dass der Berufungskläger dem Berufungsbeklagten CHF 12'046.40, zu- züglich Zins, zu bezahlen hat, ist daher nichts auszusetzen.</w:t>
      </w:r>
    </w:p>
    <w:p>
      <w:r>
        <w:rPr>
          <w:b/>
        </w:rPr>
        <w:t>E. 11</w:t>
      </w:r>
    </w:p>
    <w:p>
      <w:r>
        <w:t>Im Ergebnis erweist sich die Berufung als unbegründet und ist abzuweisen, soweit darauf einzutreten ist. Damit erübrigt es sich, auf weitere im vorliegenden Berufungsverfahren vorgebrachte Aspekte, wie beispielsweise den Verfahrensan- trag oder die zahlreichen Beilagen zur Berufungsreplik (act. A.3; act. B.2), einzu- gehen.</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